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669" w:rsidRDefault="004D5669" w:rsidP="004D5669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val="en-US" w:eastAsia="nb-NO"/>
        </w:rPr>
      </w:pPr>
      <w:r w:rsidRPr="004D5669">
        <w:rPr>
          <w:rFonts w:eastAsia="Times New Roman" w:cstheme="minorHAnsi"/>
          <w:b/>
          <w:bCs/>
          <w:sz w:val="24"/>
          <w:szCs w:val="24"/>
          <w:lang w:val="en-US" w:eastAsia="nb-NO"/>
        </w:rPr>
        <w:t xml:space="preserve">Supplementary </w:t>
      </w:r>
      <w:r>
        <w:rPr>
          <w:rFonts w:eastAsia="Times New Roman" w:cstheme="minorHAnsi"/>
          <w:b/>
          <w:bCs/>
          <w:sz w:val="24"/>
          <w:szCs w:val="24"/>
          <w:lang w:val="en-US" w:eastAsia="nb-NO"/>
        </w:rPr>
        <w:t>material</w:t>
      </w:r>
    </w:p>
    <w:p w:rsidR="00BC6FD4" w:rsidRDefault="00BC6FD4" w:rsidP="004D5669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val="en-US" w:eastAsia="nb-NO"/>
        </w:rPr>
      </w:pPr>
    </w:p>
    <w:p w:rsidR="00FE5A67" w:rsidRDefault="00FE5A67" w:rsidP="00BC6FD4">
      <w:pPr>
        <w:rPr>
          <w:b/>
          <w:bCs/>
          <w:lang w:val="en-US"/>
        </w:rPr>
      </w:pPr>
      <w:r>
        <w:rPr>
          <w:b/>
          <w:bCs/>
          <w:lang w:val="en-US"/>
        </w:rPr>
        <w:t>Methods</w:t>
      </w:r>
    </w:p>
    <w:p w:rsidR="00BC6FD4" w:rsidRPr="00BC6FD4" w:rsidRDefault="00BC6FD4" w:rsidP="00BC6FD4">
      <w:pPr>
        <w:rPr>
          <w:rFonts w:ascii="Calibri" w:hAnsi="Calibri"/>
          <w:lang w:val="en-US"/>
        </w:rPr>
      </w:pPr>
      <w:proofErr w:type="spellStart"/>
      <w:r>
        <w:rPr>
          <w:b/>
          <w:bCs/>
          <w:lang w:val="en-US"/>
        </w:rPr>
        <w:t>Immunohistochemical</w:t>
      </w:r>
      <w:proofErr w:type="spellEnd"/>
      <w:r>
        <w:rPr>
          <w:b/>
          <w:bCs/>
          <w:lang w:val="en-US"/>
        </w:rPr>
        <w:t xml:space="preserve"> analysis for Ki67</w:t>
      </w:r>
    </w:p>
    <w:p w:rsidR="00BC6FD4" w:rsidRDefault="00BC6FD4" w:rsidP="00BC6FD4">
      <w:pPr>
        <w:rPr>
          <w:lang w:val="en"/>
        </w:rPr>
      </w:pPr>
      <w:r>
        <w:rPr>
          <w:lang w:val="en-US"/>
        </w:rPr>
        <w:t xml:space="preserve">One whole section from a FFPE block from the primary </w:t>
      </w:r>
      <w:proofErr w:type="spellStart"/>
      <w:r>
        <w:rPr>
          <w:lang w:val="en-US"/>
        </w:rPr>
        <w:t>tumour</w:t>
      </w:r>
      <w:proofErr w:type="spellEnd"/>
      <w:r>
        <w:rPr>
          <w:lang w:val="en-US"/>
        </w:rPr>
        <w:t xml:space="preserve"> was </w:t>
      </w:r>
      <w:proofErr w:type="spellStart"/>
      <w:r>
        <w:rPr>
          <w:lang w:val="en-US"/>
        </w:rPr>
        <w:t>immunostained</w:t>
      </w:r>
      <w:proofErr w:type="spellEnd"/>
      <w:r>
        <w:rPr>
          <w:lang w:val="en-US"/>
        </w:rPr>
        <w:t xml:space="preserve"> for Ki67 with clone MIB1( </w:t>
      </w:r>
      <w:proofErr w:type="spellStart"/>
      <w:r>
        <w:rPr>
          <w:lang w:val="en-US"/>
        </w:rPr>
        <w:t>Dako</w:t>
      </w:r>
      <w:proofErr w:type="spellEnd"/>
      <w:r>
        <w:rPr>
          <w:lang w:val="en-US"/>
        </w:rPr>
        <w:t xml:space="preserve"> M7240) in dilution 1:100, on a</w:t>
      </w:r>
      <w:r>
        <w:rPr>
          <w:rStyle w:val="apple-converted-space"/>
          <w:lang w:val="en-US"/>
        </w:rPr>
        <w:t> </w:t>
      </w:r>
      <w:proofErr w:type="spellStart"/>
      <w:r>
        <w:rPr>
          <w:lang w:val="en"/>
        </w:rPr>
        <w:t>BenchMark</w:t>
      </w:r>
      <w:proofErr w:type="spellEnd"/>
      <w:r>
        <w:rPr>
          <w:lang w:val="en"/>
        </w:rPr>
        <w:t xml:space="preserve"> ULTRA</w:t>
      </w:r>
      <w:r>
        <w:rPr>
          <w:rStyle w:val="apple-converted-space"/>
          <w:lang w:val="en"/>
        </w:rPr>
        <w:t> </w:t>
      </w:r>
      <w:r>
        <w:rPr>
          <w:lang w:val="en"/>
        </w:rPr>
        <w:t xml:space="preserve">staining system, using CC1 standard antigen retrieval and </w:t>
      </w:r>
      <w:proofErr w:type="spellStart"/>
      <w:r>
        <w:rPr>
          <w:lang w:val="en"/>
        </w:rPr>
        <w:t>UltraView</w:t>
      </w:r>
      <w:proofErr w:type="spellEnd"/>
      <w:r>
        <w:rPr>
          <w:lang w:val="en"/>
        </w:rPr>
        <w:t xml:space="preserve"> DAB with amplification as detection system. Sensitivity/specificity of the staining protocol was adapted to satisfy the recommendations from </w:t>
      </w:r>
      <w:proofErr w:type="spellStart"/>
      <w:r>
        <w:rPr>
          <w:lang w:val="en"/>
        </w:rPr>
        <w:t>NordiQC</w:t>
      </w:r>
      <w:proofErr w:type="spellEnd"/>
      <w:r>
        <w:rPr>
          <w:lang w:val="en"/>
        </w:rPr>
        <w:t xml:space="preserve"> (</w:t>
      </w:r>
      <w:hyperlink r:id="rId5" w:history="1">
        <w:r>
          <w:rPr>
            <w:rStyle w:val="Hyperkobling"/>
            <w:color w:val="800080"/>
            <w:lang w:val="en"/>
          </w:rPr>
          <w:t>http://www.nordiqc.org/</w:t>
        </w:r>
      </w:hyperlink>
      <w:r>
        <w:rPr>
          <w:lang w:val="en"/>
        </w:rPr>
        <w:t xml:space="preserve">), and tonsil was used as positive control. The slides were screened manually in a light microscope to identify the area with the highest Ki67 tumor cell expression. Then, using the 40 lens, the proportion of tumor cells with a Ki67-positive nucleus was counted in the selected area, helped by using an ocular provided with a 10x10 </w:t>
      </w:r>
      <w:proofErr w:type="spellStart"/>
      <w:r>
        <w:rPr>
          <w:lang w:val="en"/>
        </w:rPr>
        <w:t>graticule</w:t>
      </w:r>
      <w:proofErr w:type="spellEnd"/>
      <w:r>
        <w:rPr>
          <w:lang w:val="en"/>
        </w:rPr>
        <w:t xml:space="preserve"> (</w:t>
      </w:r>
      <w:proofErr w:type="spellStart"/>
      <w:r>
        <w:rPr>
          <w:lang w:val="en"/>
        </w:rPr>
        <w:t>Pyser</w:t>
      </w:r>
      <w:proofErr w:type="spellEnd"/>
      <w:r>
        <w:rPr>
          <w:lang w:val="en"/>
        </w:rPr>
        <w:t>-SGI). At least 250 tumor cell nuclei were analyzed, and the proportion of Ki67-positive tumor cells was registered (“hot-spot” score).</w:t>
      </w:r>
    </w:p>
    <w:p w:rsidR="00245502" w:rsidRDefault="00245502">
      <w:pPr>
        <w:rPr>
          <w:b/>
          <w:lang w:val="en-US"/>
        </w:rPr>
      </w:pPr>
      <w:r>
        <w:rPr>
          <w:b/>
          <w:lang w:val="en-US"/>
        </w:rPr>
        <w:br w:type="page"/>
      </w:r>
    </w:p>
    <w:p w:rsidR="00245502" w:rsidRDefault="00245502" w:rsidP="00245502">
      <w:pPr>
        <w:rPr>
          <w:b/>
          <w:lang w:val="en-US"/>
        </w:rPr>
      </w:pPr>
      <w:r>
        <w:rPr>
          <w:b/>
          <w:lang w:val="en-US"/>
        </w:rPr>
        <w:lastRenderedPageBreak/>
        <w:t>Supplementary figure legends</w:t>
      </w:r>
    </w:p>
    <w:p w:rsidR="00245502" w:rsidRDefault="00245502" w:rsidP="00245502">
      <w:pPr>
        <w:rPr>
          <w:b/>
          <w:lang w:val="en-US"/>
        </w:rPr>
      </w:pPr>
      <w:r>
        <w:rPr>
          <w:b/>
          <w:lang w:val="en-US"/>
        </w:rPr>
        <w:t>Figure S1</w:t>
      </w:r>
    </w:p>
    <w:p w:rsidR="00245502" w:rsidRDefault="00245502" w:rsidP="00245502">
      <w:pPr>
        <w:rPr>
          <w:rFonts w:cs="Arial"/>
          <w:lang w:val="en-US"/>
        </w:rPr>
      </w:pPr>
      <w:r>
        <w:rPr>
          <w:rFonts w:cs="Arial"/>
          <w:lang w:val="en"/>
        </w:rPr>
        <w:t>D</w:t>
      </w:r>
      <w:proofErr w:type="spellStart"/>
      <w:r>
        <w:rPr>
          <w:rFonts w:cs="Arial"/>
          <w:lang w:val="en-US"/>
        </w:rPr>
        <w:t>istribution</w:t>
      </w:r>
      <w:proofErr w:type="spellEnd"/>
      <w:r>
        <w:rPr>
          <w:rFonts w:cs="Arial"/>
          <w:lang w:val="en-US"/>
        </w:rPr>
        <w:t xml:space="preserve"> of PAM50 subtypes within subgroups based on HR and HER2 status. Bars representing percent of total in each HR/HER2-group, “N” displayed on top of the bar.</w:t>
      </w:r>
    </w:p>
    <w:p w:rsidR="00245502" w:rsidRDefault="00245502" w:rsidP="00245502">
      <w:pPr>
        <w:rPr>
          <w:b/>
          <w:lang w:val="en-US"/>
        </w:rPr>
      </w:pPr>
      <w:r>
        <w:rPr>
          <w:b/>
          <w:lang w:val="en-US"/>
        </w:rPr>
        <w:t>Figure S2</w:t>
      </w:r>
    </w:p>
    <w:p w:rsidR="00245502" w:rsidRDefault="00245502" w:rsidP="00245502">
      <w:pPr>
        <w:rPr>
          <w:rFonts w:cs="Arial"/>
          <w:lang w:val="en-US"/>
        </w:rPr>
      </w:pPr>
      <w:r>
        <w:rPr>
          <w:rFonts w:cs="Arial"/>
          <w:lang w:val="en-US"/>
        </w:rPr>
        <w:t>ROR score</w:t>
      </w:r>
      <w:r>
        <w:rPr>
          <w:lang w:val="en-US"/>
        </w:rPr>
        <w:t xml:space="preserve"> within each of the PAM50 subtypes for all patients (Statistical package “R”) </w:t>
      </w:r>
    </w:p>
    <w:p w:rsidR="00245502" w:rsidRDefault="00245502" w:rsidP="00245502">
      <w:pPr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Figure S3</w:t>
      </w:r>
    </w:p>
    <w:p w:rsidR="00245502" w:rsidRDefault="00245502" w:rsidP="00245502">
      <w:pPr>
        <w:rPr>
          <w:rFonts w:cs="Helvetica"/>
          <w:lang w:val="en"/>
        </w:rPr>
      </w:pPr>
      <w:r>
        <w:rPr>
          <w:rFonts w:cs="Helvetica"/>
          <w:lang w:val="en"/>
        </w:rPr>
        <w:t xml:space="preserve">Kaplan–Meier plots of BCSS (3a) and DDFS (3b) according to </w:t>
      </w:r>
      <w:r w:rsidR="005057E2">
        <w:rPr>
          <w:rFonts w:cs="Helvetica"/>
          <w:lang w:val="en"/>
        </w:rPr>
        <w:t>HR/HER2</w:t>
      </w:r>
      <w:r>
        <w:rPr>
          <w:rFonts w:cs="Helvetica"/>
          <w:lang w:val="en"/>
        </w:rPr>
        <w:t xml:space="preserve"> subtypes in all 653 patients (A) and </w:t>
      </w:r>
      <w:r w:rsidR="005057E2">
        <w:rPr>
          <w:rFonts w:cs="Helvetica"/>
          <w:lang w:val="en"/>
        </w:rPr>
        <w:t xml:space="preserve">according to PAM50 subtypes within </w:t>
      </w:r>
      <w:r>
        <w:rPr>
          <w:rFonts w:cs="Helvetica"/>
          <w:lang w:val="en"/>
        </w:rPr>
        <w:t xml:space="preserve">different HR/HER2 (B-E) subgroups. </w:t>
      </w:r>
      <w:proofErr w:type="gramStart"/>
      <w:r>
        <w:rPr>
          <w:rFonts w:cs="Helvetica"/>
          <w:lang w:val="en"/>
        </w:rPr>
        <w:t>P-values from Log-rank tests.</w:t>
      </w:r>
      <w:proofErr w:type="gramEnd"/>
    </w:p>
    <w:p w:rsidR="00245502" w:rsidRDefault="00245502" w:rsidP="00245502">
      <w:pPr>
        <w:rPr>
          <w:rFonts w:cs="Helvetica"/>
          <w:b/>
          <w:lang w:val="en"/>
        </w:rPr>
      </w:pPr>
      <w:r>
        <w:rPr>
          <w:rFonts w:cs="Helvetica"/>
          <w:b/>
          <w:lang w:val="en"/>
        </w:rPr>
        <w:t>Figure S4</w:t>
      </w:r>
    </w:p>
    <w:p w:rsidR="00245502" w:rsidRDefault="00245502" w:rsidP="00245502">
      <w:pPr>
        <w:rPr>
          <w:rFonts w:cs="Helvetica"/>
          <w:lang w:val="en"/>
        </w:rPr>
      </w:pPr>
      <w:r>
        <w:rPr>
          <w:rFonts w:cs="Helvetica"/>
          <w:lang w:val="en"/>
        </w:rPr>
        <w:t>Kaplan–Meier plots of BCSS according to</w:t>
      </w:r>
      <w:r>
        <w:rPr>
          <w:rFonts w:cs="Arial"/>
          <w:lang w:val="en-US"/>
        </w:rPr>
        <w:t xml:space="preserve"> ROR categories for </w:t>
      </w:r>
      <w:r>
        <w:rPr>
          <w:rFonts w:cs="Arial"/>
          <w:sz w:val="24"/>
          <w:szCs w:val="24"/>
          <w:lang w:val="en-US"/>
        </w:rPr>
        <w:t>node negative (A) and node positive (B</w:t>
      </w:r>
      <w:proofErr w:type="gramStart"/>
      <w:r>
        <w:rPr>
          <w:rFonts w:cs="Arial"/>
          <w:sz w:val="24"/>
          <w:szCs w:val="24"/>
          <w:lang w:val="en-US"/>
        </w:rPr>
        <w:t xml:space="preserve">) </w:t>
      </w:r>
      <w:r>
        <w:rPr>
          <w:rFonts w:cs="Arial"/>
          <w:lang w:val="en-US"/>
        </w:rPr>
        <w:t xml:space="preserve"> HR</w:t>
      </w:r>
      <w:proofErr w:type="gramEnd"/>
      <w:r>
        <w:rPr>
          <w:rFonts w:cs="Arial"/>
          <w:lang w:val="en-US"/>
        </w:rPr>
        <w:t xml:space="preserve">+/HER2- patients </w:t>
      </w:r>
      <w:r>
        <w:rPr>
          <w:rFonts w:cs="Helvetica"/>
          <w:lang w:val="en"/>
        </w:rPr>
        <w:t xml:space="preserve">. </w:t>
      </w:r>
      <w:proofErr w:type="gramStart"/>
      <w:r>
        <w:rPr>
          <w:rFonts w:cs="Helvetica"/>
          <w:lang w:val="en"/>
        </w:rPr>
        <w:t>P-values from Log-rank tests.</w:t>
      </w:r>
      <w:proofErr w:type="gramEnd"/>
    </w:p>
    <w:p w:rsidR="00245502" w:rsidRDefault="00245502" w:rsidP="00245502">
      <w:pPr>
        <w:rPr>
          <w:rFonts w:cs="Helvetica"/>
          <w:b/>
          <w:lang w:val="en"/>
        </w:rPr>
      </w:pPr>
      <w:r>
        <w:rPr>
          <w:rFonts w:cs="Helvetica"/>
          <w:b/>
          <w:lang w:val="en"/>
        </w:rPr>
        <w:t>Figure S5</w:t>
      </w:r>
    </w:p>
    <w:p w:rsidR="00245502" w:rsidRDefault="00245502" w:rsidP="00245502">
      <w:pPr>
        <w:rPr>
          <w:rFonts w:cs="Helvetica"/>
          <w:lang w:val="en"/>
        </w:rPr>
      </w:pPr>
      <w:r>
        <w:rPr>
          <w:rFonts w:cs="Helvetica"/>
          <w:lang w:val="en"/>
        </w:rPr>
        <w:t>Kaplan-Meier plots of BCSS (A-B) and DDFS (C-D) according to ROR categories for node negative luminal A HR+/HER2- patients with no adjuvant treatment (A, C) or</w:t>
      </w:r>
      <w:r w:rsidR="005057E2">
        <w:rPr>
          <w:rFonts w:cs="Helvetica"/>
          <w:lang w:val="en"/>
        </w:rPr>
        <w:t xml:space="preserve"> treated </w:t>
      </w:r>
      <w:proofErr w:type="gramStart"/>
      <w:r w:rsidR="005057E2">
        <w:rPr>
          <w:rFonts w:cs="Helvetica"/>
          <w:lang w:val="en"/>
        </w:rPr>
        <w:t xml:space="preserve">with </w:t>
      </w:r>
      <w:r>
        <w:rPr>
          <w:rFonts w:cs="Helvetica"/>
          <w:lang w:val="en"/>
        </w:rPr>
        <w:t xml:space="preserve"> </w:t>
      </w:r>
      <w:proofErr w:type="spellStart"/>
      <w:r>
        <w:rPr>
          <w:rFonts w:cs="Helvetica"/>
          <w:lang w:val="en"/>
        </w:rPr>
        <w:t>tamoxifen</w:t>
      </w:r>
      <w:proofErr w:type="spellEnd"/>
      <w:proofErr w:type="gramEnd"/>
      <w:r>
        <w:rPr>
          <w:rFonts w:cs="Helvetica"/>
          <w:lang w:val="en"/>
        </w:rPr>
        <w:t xml:space="preserve"> only (B, D). </w:t>
      </w:r>
      <w:proofErr w:type="gramStart"/>
      <w:r>
        <w:rPr>
          <w:rFonts w:cs="Helvetica"/>
          <w:lang w:val="en"/>
        </w:rPr>
        <w:t>P-values from Log-rank tests.</w:t>
      </w:r>
      <w:proofErr w:type="gramEnd"/>
      <w:r>
        <w:rPr>
          <w:rFonts w:cs="Helvetica"/>
          <w:lang w:val="en"/>
        </w:rPr>
        <w:t xml:space="preserve"> </w:t>
      </w:r>
    </w:p>
    <w:p w:rsidR="00245502" w:rsidRDefault="00245502" w:rsidP="00245502">
      <w:pPr>
        <w:rPr>
          <w:b/>
          <w:lang w:val="en-US"/>
        </w:rPr>
      </w:pPr>
      <w:r>
        <w:rPr>
          <w:b/>
          <w:lang w:val="en-US"/>
        </w:rPr>
        <w:t>Figure S6</w:t>
      </w:r>
    </w:p>
    <w:p w:rsidR="00245502" w:rsidRDefault="00245502" w:rsidP="00245502">
      <w:pPr>
        <w:rPr>
          <w:rFonts w:cs="Arial"/>
          <w:lang w:val="en-US"/>
        </w:rPr>
      </w:pPr>
      <w:r>
        <w:rPr>
          <w:rFonts w:cs="Arial"/>
          <w:color w:val="000000"/>
          <w:lang w:val="en-US"/>
        </w:rPr>
        <w:t>Correlation between Ki67 expression and ROR s</w:t>
      </w:r>
      <w:r w:rsidR="005057E2">
        <w:rPr>
          <w:rFonts w:cs="Arial"/>
          <w:color w:val="000000"/>
          <w:lang w:val="en-US"/>
        </w:rPr>
        <w:t xml:space="preserve">core for the HR+/HER2- patients. </w:t>
      </w:r>
      <w:proofErr w:type="gramStart"/>
      <w:r>
        <w:rPr>
          <w:rFonts w:cs="Arial"/>
          <w:lang w:val="en-US"/>
        </w:rPr>
        <w:t>rho</w:t>
      </w:r>
      <w:proofErr w:type="gramEnd"/>
      <w:r>
        <w:rPr>
          <w:rFonts w:cs="Arial"/>
          <w:lang w:val="en-US"/>
        </w:rPr>
        <w:t>= 0.62</w:t>
      </w:r>
      <w:r w:rsidR="005057E2">
        <w:rPr>
          <w:rFonts w:cs="Arial"/>
          <w:lang w:val="en-US"/>
        </w:rPr>
        <w:t xml:space="preserve">, </w:t>
      </w:r>
      <w:r>
        <w:rPr>
          <w:rFonts w:cs="Arial"/>
          <w:i/>
          <w:lang w:val="en-US"/>
        </w:rPr>
        <w:t>p&lt;0.001</w:t>
      </w:r>
      <w:r>
        <w:rPr>
          <w:rFonts w:cs="Arial"/>
          <w:lang w:val="en-US"/>
        </w:rPr>
        <w:t>(Pearson correlation)</w:t>
      </w:r>
    </w:p>
    <w:p w:rsidR="00FE5A67" w:rsidRPr="00245502" w:rsidRDefault="00FE5A67" w:rsidP="00BC6FD4">
      <w:pPr>
        <w:rPr>
          <w:lang w:val="en-US"/>
        </w:rPr>
      </w:pPr>
    </w:p>
    <w:p w:rsidR="005057E2" w:rsidRDefault="005057E2">
      <w:pPr>
        <w:rPr>
          <w:b/>
          <w:lang w:val="en"/>
        </w:rPr>
      </w:pPr>
      <w:r>
        <w:rPr>
          <w:b/>
          <w:lang w:val="en"/>
        </w:rPr>
        <w:br w:type="page"/>
      </w:r>
    </w:p>
    <w:p w:rsidR="00FE5A67" w:rsidRPr="00FE5A67" w:rsidRDefault="005057E2" w:rsidP="00BC6FD4">
      <w:pPr>
        <w:rPr>
          <w:b/>
          <w:lang w:val="en"/>
        </w:rPr>
      </w:pPr>
      <w:r>
        <w:rPr>
          <w:b/>
          <w:lang w:val="en"/>
        </w:rPr>
        <w:lastRenderedPageBreak/>
        <w:t>Comment to s</w:t>
      </w:r>
      <w:r w:rsidR="00DE1364">
        <w:rPr>
          <w:b/>
          <w:lang w:val="en"/>
        </w:rPr>
        <w:t>upplementary Table S1</w:t>
      </w:r>
    </w:p>
    <w:p w:rsidR="00245502" w:rsidRDefault="00245502" w:rsidP="00245502">
      <w:pPr>
        <w:rPr>
          <w:lang w:val="en"/>
        </w:rPr>
      </w:pPr>
      <w:r>
        <w:rPr>
          <w:lang w:val="en"/>
        </w:rPr>
        <w:t xml:space="preserve">The PAM50 subtype classification was a strong prognostic factor in addition to the established </w:t>
      </w:r>
      <w:proofErr w:type="spellStart"/>
      <w:r>
        <w:rPr>
          <w:lang w:val="en"/>
        </w:rPr>
        <w:t>clinicopathological</w:t>
      </w:r>
      <w:proofErr w:type="spellEnd"/>
      <w:r>
        <w:rPr>
          <w:lang w:val="en"/>
        </w:rPr>
        <w:t xml:space="preserve"> variables for all patients. Patients with luminal A tumors had improved BCSS compared to those with luminal B (HR 3.04, 95% CI: 1.93-4.80), HER2 enriched (HR 4.13, 95% CI: 2.09-8.17) and basal-like tumors (HR 2.30, 95% CI: 1.01-5.23). Similar prognostic information was observed for DDFS.  </w:t>
      </w:r>
    </w:p>
    <w:p w:rsidR="00FE5A67" w:rsidRDefault="00FE5A67" w:rsidP="00BC6FD4">
      <w:pPr>
        <w:rPr>
          <w:lang w:val="en"/>
        </w:rPr>
      </w:pPr>
    </w:p>
    <w:p w:rsidR="00FE5A67" w:rsidRDefault="005057E2" w:rsidP="00BC6FD4">
      <w:pPr>
        <w:rPr>
          <w:b/>
          <w:lang w:val="en"/>
        </w:rPr>
      </w:pPr>
      <w:r>
        <w:rPr>
          <w:b/>
          <w:lang w:val="en"/>
        </w:rPr>
        <w:t xml:space="preserve">Comments to </w:t>
      </w:r>
      <w:r w:rsidR="00FE5A67">
        <w:rPr>
          <w:b/>
          <w:lang w:val="en"/>
        </w:rPr>
        <w:t xml:space="preserve">Figures </w:t>
      </w:r>
    </w:p>
    <w:p w:rsidR="00FE5A67" w:rsidRPr="00FE5A67" w:rsidRDefault="00FE5A67" w:rsidP="00BC6FD4">
      <w:pPr>
        <w:rPr>
          <w:b/>
          <w:lang w:val="en"/>
        </w:rPr>
      </w:pPr>
      <w:r w:rsidRPr="00FE5A67">
        <w:rPr>
          <w:b/>
          <w:lang w:val="en"/>
        </w:rPr>
        <w:t>Supplementary Figure S1</w:t>
      </w:r>
    </w:p>
    <w:p w:rsidR="00FE5A67" w:rsidRDefault="00FE5A67" w:rsidP="00BC6FD4">
      <w:pPr>
        <w:rPr>
          <w:rFonts w:cs="Arial"/>
          <w:sz w:val="24"/>
          <w:szCs w:val="24"/>
          <w:lang w:val="en-US"/>
        </w:rPr>
      </w:pPr>
      <w:r w:rsidRPr="001D3614">
        <w:rPr>
          <w:rFonts w:cs="Arial"/>
          <w:sz w:val="24"/>
          <w:szCs w:val="24"/>
          <w:lang w:val="en-US"/>
        </w:rPr>
        <w:t xml:space="preserve">The </w:t>
      </w:r>
      <w:r>
        <w:rPr>
          <w:rFonts w:cs="Arial"/>
          <w:sz w:val="24"/>
          <w:szCs w:val="24"/>
          <w:lang w:val="en-US"/>
        </w:rPr>
        <w:t>majority of the tumors categorized as HR+/HER2- by immunohistochemistry were of the l</w:t>
      </w:r>
      <w:r w:rsidRPr="001D3614">
        <w:rPr>
          <w:rFonts w:cs="Arial"/>
          <w:sz w:val="24"/>
          <w:szCs w:val="24"/>
          <w:lang w:val="en-US"/>
        </w:rPr>
        <w:t xml:space="preserve">uminal A or B </w:t>
      </w:r>
      <w:r>
        <w:rPr>
          <w:rFonts w:cs="Arial"/>
          <w:sz w:val="24"/>
          <w:szCs w:val="24"/>
          <w:lang w:val="en-US"/>
        </w:rPr>
        <w:t xml:space="preserve">subtypes </w:t>
      </w:r>
      <w:r w:rsidRPr="001D3614">
        <w:rPr>
          <w:rFonts w:cs="Arial"/>
          <w:sz w:val="24"/>
          <w:szCs w:val="24"/>
          <w:lang w:val="en-US"/>
        </w:rPr>
        <w:t>(9</w:t>
      </w:r>
      <w:r>
        <w:rPr>
          <w:rFonts w:cs="Arial"/>
          <w:sz w:val="24"/>
          <w:szCs w:val="24"/>
          <w:lang w:val="en-US"/>
        </w:rPr>
        <w:t xml:space="preserve">4 </w:t>
      </w:r>
      <w:r w:rsidRPr="001D3614">
        <w:rPr>
          <w:rFonts w:cs="Arial"/>
          <w:sz w:val="24"/>
          <w:szCs w:val="24"/>
          <w:lang w:val="en-US"/>
        </w:rPr>
        <w:t>%)</w:t>
      </w:r>
      <w:r>
        <w:rPr>
          <w:rFonts w:cs="Arial"/>
          <w:sz w:val="24"/>
          <w:szCs w:val="24"/>
          <w:lang w:val="en-US"/>
        </w:rPr>
        <w:t xml:space="preserve"> and most of the HR-/HER2+ were HER2 enriched (86%). Among the HR-/HER2- tumors, 60% were of basal-like subtype. The HR+/HER2+ subgroup consisted of both luminal A/B and HER2 enriched subtypes. </w:t>
      </w:r>
    </w:p>
    <w:p w:rsidR="005057E2" w:rsidRDefault="005057E2" w:rsidP="00BC6FD4">
      <w:pPr>
        <w:rPr>
          <w:rFonts w:cs="Arial"/>
          <w:b/>
          <w:sz w:val="24"/>
          <w:szCs w:val="24"/>
          <w:lang w:val="en-US"/>
        </w:rPr>
      </w:pPr>
    </w:p>
    <w:p w:rsidR="00FE5A67" w:rsidRPr="00FE5A67" w:rsidRDefault="00DE1364" w:rsidP="00BC6FD4">
      <w:pPr>
        <w:rPr>
          <w:rFonts w:cs="Arial"/>
          <w:b/>
          <w:sz w:val="24"/>
          <w:szCs w:val="24"/>
          <w:lang w:val="en-US"/>
        </w:rPr>
      </w:pPr>
      <w:bookmarkStart w:id="0" w:name="_GoBack"/>
      <w:bookmarkEnd w:id="0"/>
      <w:r>
        <w:rPr>
          <w:rFonts w:cs="Arial"/>
          <w:b/>
          <w:sz w:val="24"/>
          <w:szCs w:val="24"/>
          <w:lang w:val="en-US"/>
        </w:rPr>
        <w:t>Supplementary Figure S5</w:t>
      </w:r>
    </w:p>
    <w:p w:rsidR="00FE5A67" w:rsidRDefault="00245502" w:rsidP="00BC6FD4">
      <w:pPr>
        <w:rPr>
          <w:rFonts w:cs="Arial"/>
          <w:sz w:val="24"/>
          <w:szCs w:val="24"/>
          <w:lang w:val="en-US"/>
        </w:rPr>
      </w:pPr>
      <w:r>
        <w:rPr>
          <w:lang w:val="en"/>
        </w:rPr>
        <w:t xml:space="preserve">Comment: </w:t>
      </w:r>
      <w:r w:rsidR="00FE5A67">
        <w:rPr>
          <w:rFonts w:cs="Arial"/>
          <w:sz w:val="24"/>
          <w:szCs w:val="24"/>
          <w:lang w:val="en-US"/>
        </w:rPr>
        <w:t xml:space="preserve">Among HR+/HER2- and HR-/HER2- patients, those with luminal </w:t>
      </w:r>
      <w:proofErr w:type="gramStart"/>
      <w:r w:rsidR="00FE5A67">
        <w:rPr>
          <w:rFonts w:cs="Arial"/>
          <w:sz w:val="24"/>
          <w:szCs w:val="24"/>
          <w:lang w:val="en-US"/>
        </w:rPr>
        <w:t>A</w:t>
      </w:r>
      <w:proofErr w:type="gramEnd"/>
      <w:r w:rsidR="00FE5A67">
        <w:rPr>
          <w:rFonts w:cs="Arial"/>
          <w:sz w:val="24"/>
          <w:szCs w:val="24"/>
          <w:lang w:val="en-US"/>
        </w:rPr>
        <w:t xml:space="preserve"> tumors had a low risk of distant disease and breast cancer death, whereas patients with luminal B, basal-like and HER2 enriched tumors had high risk of distant disease and breast cancer death </w:t>
      </w:r>
    </w:p>
    <w:p w:rsidR="004A7E4A" w:rsidRDefault="004A7E4A" w:rsidP="00BC6FD4">
      <w:pPr>
        <w:rPr>
          <w:rFonts w:cs="Arial"/>
          <w:sz w:val="24"/>
          <w:szCs w:val="24"/>
          <w:lang w:val="en-US"/>
        </w:rPr>
      </w:pPr>
    </w:p>
    <w:p w:rsidR="004A7E4A" w:rsidRDefault="004A7E4A" w:rsidP="00BC6FD4">
      <w:pPr>
        <w:rPr>
          <w:rFonts w:cs="Arial"/>
          <w:sz w:val="24"/>
          <w:szCs w:val="24"/>
          <w:lang w:val="en-US"/>
        </w:rPr>
      </w:pPr>
    </w:p>
    <w:p w:rsidR="004A7E4A" w:rsidRDefault="004A7E4A" w:rsidP="00BC6FD4">
      <w:pPr>
        <w:rPr>
          <w:rFonts w:cs="Arial"/>
          <w:sz w:val="24"/>
          <w:szCs w:val="24"/>
          <w:lang w:val="en-US"/>
        </w:rPr>
      </w:pPr>
    </w:p>
    <w:p w:rsidR="004A7E4A" w:rsidRPr="00FE5A67" w:rsidRDefault="004A7E4A" w:rsidP="00BC6FD4">
      <w:pPr>
        <w:rPr>
          <w:rFonts w:ascii="Calibri" w:hAnsi="Calibri"/>
          <w:lang w:val="en-US"/>
        </w:rPr>
      </w:pPr>
    </w:p>
    <w:sectPr w:rsidR="004A7E4A" w:rsidRPr="00FE5A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669"/>
    <w:rsid w:val="00245502"/>
    <w:rsid w:val="00415FE3"/>
    <w:rsid w:val="004A7E4A"/>
    <w:rsid w:val="004D5669"/>
    <w:rsid w:val="005057E2"/>
    <w:rsid w:val="00727C18"/>
    <w:rsid w:val="00BC6FD4"/>
    <w:rsid w:val="00DE1364"/>
    <w:rsid w:val="00FE5A67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semiHidden/>
    <w:unhideWhenUsed/>
    <w:rsid w:val="004D5669"/>
    <w:rPr>
      <w:color w:val="0000FF"/>
      <w:u w:val="single"/>
    </w:rPr>
  </w:style>
  <w:style w:type="character" w:customStyle="1" w:styleId="apple-converted-space">
    <w:name w:val="apple-converted-space"/>
    <w:basedOn w:val="Standardskriftforavsnitt"/>
    <w:rsid w:val="00BC6FD4"/>
  </w:style>
  <w:style w:type="character" w:styleId="Merknadsreferanse">
    <w:name w:val="annotation reference"/>
    <w:basedOn w:val="Standardskriftforavsnitt"/>
    <w:semiHidden/>
    <w:unhideWhenUsed/>
    <w:rsid w:val="00FE5A67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FE5A67"/>
    <w:pPr>
      <w:spacing w:after="200"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FE5A6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E5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E5A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semiHidden/>
    <w:unhideWhenUsed/>
    <w:rsid w:val="004D5669"/>
    <w:rPr>
      <w:color w:val="0000FF"/>
      <w:u w:val="single"/>
    </w:rPr>
  </w:style>
  <w:style w:type="character" w:customStyle="1" w:styleId="apple-converted-space">
    <w:name w:val="apple-converted-space"/>
    <w:basedOn w:val="Standardskriftforavsnitt"/>
    <w:rsid w:val="00BC6FD4"/>
  </w:style>
  <w:style w:type="character" w:styleId="Merknadsreferanse">
    <w:name w:val="annotation reference"/>
    <w:basedOn w:val="Standardskriftforavsnitt"/>
    <w:semiHidden/>
    <w:unhideWhenUsed/>
    <w:rsid w:val="00FE5A67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FE5A67"/>
    <w:pPr>
      <w:spacing w:after="200"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FE5A67"/>
    <w:rPr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E5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E5A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7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7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ordiqc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F677B1D9</Template>
  <TotalTime>16</TotalTime>
  <Pages>3</Pages>
  <Words>454</Words>
  <Characters>2679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universitetssykehus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Hege Oma Ohnstad</dc:creator>
  <cp:lastModifiedBy>Bjørn Naume</cp:lastModifiedBy>
  <cp:revision>5</cp:revision>
  <dcterms:created xsi:type="dcterms:W3CDTF">2017-08-13T20:17:00Z</dcterms:created>
  <dcterms:modified xsi:type="dcterms:W3CDTF">2017-08-17T10:15:00Z</dcterms:modified>
</cp:coreProperties>
</file>